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112</w:t>
      </w:r>
    </w:p>
    <w:p>
      <w:r>
        <w:t>Bundesgericht (BGE), 1984-11-12, DE</w:t>
      </w:r>
    </w:p>
    <w:p>
      <w:r>
        <w:rPr>
          <w:b/>
        </w:rPr>
        <w:t xml:space="preserve">Quelle: </w:t>
      </w:r>
      <w:r>
        <w:t>https://mcp.opencaselaw.ch/entscheid/bge_110 IV 112</w:t>
      </w:r>
    </w:p>
    <w:p>
      <w:r>
        <w:t>FR: ATF 110 IV 112</w:t>
      </w:r>
    </w:p>
    <w:p>
      <w:r>
        <w:t>IT: DTF 110 IV 112</w:t>
      </w:r>
    </w:p>
    <w:p>
      <w:pPr>
        <w:pStyle w:val="Heading2"/>
      </w:pPr>
      <w:r>
        <w:t>Regeste</w:t>
      </w:r>
    </w:p>
    <w:p>
      <w:r>
        <w:t>Regeste Art. 28 Abs. 3 VStrR; Fristwiederherstellung. Die Wiederherstellung der eine Beschwerde an die Anklagekammer betreffenden Frist des Art. 28 VStrR kann nur durch das Bundesgericht erfolgen.</w:t>
      </w:r>
    </w:p>
    <w:p>
      <w:pPr>
        <w:pStyle w:val="Heading2"/>
      </w:pPr>
      <w:r>
        <w:t>Erwägungen</w:t>
      </w:r>
    </w:p>
    <w:p>
      <w:r>
        <w:rPr>
          <w:b/>
        </w:rPr>
        <w:t>E. 1</w:t>
      </w:r>
    </w:p>
    <w:p>
      <w:r>
        <w:t>Im vorliegenden Fall stellt sich vorerst die Frage nach der Rechtzeitigkeit der Beschwerde. Diese liegt in zwei Eingaben vor. Eine erste als Beschwerde bezeichnete Rechtsschrift vom 16. November 1984 ist innert der Frist des Art. 28 VStrR eingereicht worden, und sie enthält einen Antrag und eine knappe Begründung, indem darin namentlich die materiellen und/oder formellen BGE 110 IV 112 S. 113 Voraussetzungen für einen Verkauf der beschlagnahmten Waren bestritten werden. Eine zweite Rechtsschrift mit eingehenderer Begründung datiert vom 26. November 1984. Sie wurde innert einer vom BAWI mit Verfügung vom 20. November 1984 "über die Wiederherstellung der Frist" gewährten neuen dreitägigen Frist eingereicht. Bezüglich der zweiten Eingabe ist vorweg darauf hinzuweisen, dass eine Wiederherstellung im Sinne des Art. 31 VStrR in Verbindung mit Art. 24 VwVG nur denkbar ist, wenn eine Frist versäumt wurde. Das traf hier nicht zu, hatte doch die Beschwerdeführerin innert der dreitägigen Beschwerdefrist gehandelt. Des weiteren hätte nicht eine neue Frist angesetzt werden dürfen, nachdem das Gesetz selber vorschreibt, dass binnen 10 Tagen nach Wegfall des Hindernisses das Wiederherstellungsgesuch einzureichen und die versäumte Rechtshandlung nachzuholen ist. Das Vorgehen des BAWI läuft im Ergebnis auf eine Fristerstreckung hinaus, die aber bei gesetzlichen Fristen - und um eine solche handelt es sich bei der Beschwerdefrist des Art. 28 VStrR - nach Art. 31 VStrR in Verbindung mit Art. 22 Abs. 1 VwVG ausgeschlossen ist. Schliesslich ist festzustellen, dass eine Wiederherstellung der die Beschwerde an die Anklagekammer betreffenden Frist des Art. 28 VStrR allein durch das Bundesgericht erfolgen kann. Wenn Art. 26 Abs. 2 lit. b VStrR vorschreibt, es sei die Beschwerde "in den übrigen Fällen" (d.h. in den Fällen, in welchen die Beschwerde nicht gegen eine kantonale Gerichtsbehörde oder gegen den Vorsteher der beteiligten Verwaltung gerichtet ist) beim Direktor oder Chef der beteiligten Verwaltung "einzureichen", so bedeutet das nicht, dass dieser insoweit Beschwerdeinstanz sei, sondern bloss, dass ihm gemäss Art. 26 Abs. 3 VStrR die Möglichkeit gegeben ist, die Verfügung seiner Verwaltung in Wiedererwägung zu ziehen und damit die Beschwerde hinfällig werden zu lassen. Tut er dies aber - wie in casu - nicht, ist die Beschwerde zur Beurteilung an die Anklagekammer weiterzuleiten, und es steht einzig dieser zu, über ein Wiederherstellungsgesuch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